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sz w:val="28"/>
        </w:rPr>
      </w:pPr>
    </w:p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 в законодательстве, касающиеся креативных (творческих) индустрий в Российской Федерации</w:t>
      </w:r>
    </w:p>
    <w:p w14:paraId="03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08.08.2024 № 330-ФЗ «О развитии креативных (творческих) индустрий в Российской Федерации», вступившим в силу 05.02.2025, под креативной (творческой) индустрией понимается экономическая деятельность, непосредственно связанная с созданием, продвижением на внутреннем и внешнем рынках, распространением и (или) реализацией креативного продукта, обладающего уникальностью и экономической ценностью.</w:t>
      </w:r>
    </w:p>
    <w:p w14:paraId="05000000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их видам отнесены:</w:t>
      </w:r>
    </w:p>
    <w:p w14:paraId="0600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индустрии, основанные на историко-культурном наследии;</w:t>
      </w:r>
    </w:p>
    <w:p w14:paraId="0700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индустрии, основанные на произведениях литературы и искусства;</w:t>
      </w:r>
    </w:p>
    <w:p w14:paraId="0800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индустрии, основанные на информационно-телекоммуникационных технологиях;</w:t>
      </w:r>
    </w:p>
    <w:p w14:paraId="09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индустрии, основанные на прикладном творчестве.</w:t>
      </w:r>
    </w:p>
    <w:p w14:paraId="0A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Законом предусмотрены финансовые, имущественные, образовательные, информационные и иные меры государственной поддержки в сфере креативных индустрий, а также установлены условия предоставления указанных мер субъектам креативных индустрий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2025-04-15T09:31:06Z</dcterms:modified>
</cp:coreProperties>
</file>