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850"/>
        <w:jc w:val="both"/>
        <w:rPr>
          <w:rFonts w:ascii="Times New Roman" w:hAnsi="Times New Roman"/>
          <w:sz w:val="28"/>
        </w:rPr>
      </w:pPr>
    </w:p>
    <w:p w14:paraId="02000000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Вступили в силу изменения, внесенные в закон об основных гарантиях прав ребенка в Российской Федерации относительно отдыха и оздоровления детей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апреля 2025 года вступили в силу изменения, внесенные Федеральным законом от 28.12.2024 № 543-ФЗ в Федеральный закон от 24.07.1998 № 124-ФЗ «Об основных гарантиях прав ребенка в Российской Федерации», которыми уточнено, что отдых и оздоровление детей включают также мероприятия, направленные на их воспитание.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отдыха детей и их оздоровления обязана: 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обеспечивать создание и ведение своего сайта; 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детей. 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установлено, что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дни, мероприятия по воспитанию детей, направленные на развитие личности, формирование у детей трудолюбия, ответственного отношения к труду и его результатам, создание условий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9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включения в реестр организаций отдыха детей и их оздоровления организации должны представлять в уполномоченный орган исполнительной власти субъекта Российской Федерации также заверенную копию программы воспитательной работы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2025-04-29T07:11:39Z</dcterms:modified>
</cp:coreProperties>
</file>